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48" w:rsidRPr="008B7B48" w:rsidRDefault="008B7B48" w:rsidP="008B7B48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B7B4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B7B48" w:rsidRPr="008B7B48" w:rsidRDefault="008B7B48" w:rsidP="008B7B48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Ogłoszenie nr 610112-N-2020 z dnia 2020-11-13 r. </w:t>
      </w:r>
    </w:p>
    <w:p w:rsidR="008B7B48" w:rsidRPr="008B7B48" w:rsidRDefault="008B7B48" w:rsidP="008B7B48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>Urząd Gminy Prażmów: „Budowa punktów świetlnych”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OGŁOSZENIE O ZAMÓWIENIU - Roboty budowlane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8B7B48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8B7B48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8B7B48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Adres strony internetowej (URL): https://prazmow.bip.gov.pl/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lastRenderedPageBreak/>
        <w:t xml:space="preserve">Adres profilu nabywcy: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8B7B48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8B7B48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Tak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Tak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Ofertę zapakowaną i oznaczoną zgodnie z pkt. 12.9 należy dostarczyć do siedziby Zamawiającego: Prażmów ul. P. Czołchańskiego 1, 05-505 Prażmów (kancelaria urzędu). Uwaga! Jeżeli nie będzie możliwości złożenia oferty w kancelarii Urzędu ze względu na sytuację epidemiologiczną w kraju, oferty należy złożyć w terminie wskazanym poniżej poprzez: operatora pocztowego lub firmę kurierską, bądź wrzucenie do skrzynki podawczej </w:t>
      </w:r>
      <w:r w:rsidRPr="008B7B48">
        <w:rPr>
          <w:rFonts w:eastAsia="Times New Roman" w:cs="Times New Roman"/>
          <w:szCs w:val="24"/>
          <w:lang w:eastAsia="pl-PL"/>
        </w:rPr>
        <w:lastRenderedPageBreak/>
        <w:t xml:space="preserve">ustawionej przy wejściu głównym do UG. Oferty wrzucone do skrzynki po terminie 27.11.2020 godz. 12:00 zostaną zwrócone wykonawcom bez ich otwierania, zgodnie z art. 84 ust. 2 Ustawy.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8B7B48">
        <w:rPr>
          <w:rFonts w:eastAsia="Times New Roman" w:cs="Times New Roman"/>
          <w:szCs w:val="24"/>
          <w:lang w:eastAsia="pl-PL"/>
        </w:rPr>
        <w:t xml:space="preserve">„Budowa punktów świetlnych”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8B7B48">
        <w:rPr>
          <w:rFonts w:eastAsia="Times New Roman" w:cs="Times New Roman"/>
          <w:szCs w:val="24"/>
          <w:lang w:eastAsia="pl-PL"/>
        </w:rPr>
        <w:t xml:space="preserve">ZAM.271.1.21.2020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8B7B48" w:rsidRPr="008B7B48" w:rsidRDefault="008B7B48" w:rsidP="008B7B48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8B7B48">
        <w:rPr>
          <w:rFonts w:eastAsia="Times New Roman" w:cs="Times New Roman"/>
          <w:szCs w:val="24"/>
          <w:lang w:eastAsia="pl-PL"/>
        </w:rPr>
        <w:t xml:space="preserve">Roboty budowlane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8B7B48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B7B48">
        <w:rPr>
          <w:rFonts w:eastAsia="Times New Roman" w:cs="Times New Roman"/>
          <w:szCs w:val="24"/>
          <w:lang w:eastAsia="pl-PL"/>
        </w:rPr>
        <w:t xml:space="preserve">Przedmiotem zamówienia jest budowa punktów świetlnych na terenie Gminy Prażmów w miejscach wskazanych przez Zamawiającego, na podstawie wykazu miejscowości i szczegółowego opisu robót w zakresie budowy punktów świetlnych.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8B7B48">
        <w:rPr>
          <w:rFonts w:eastAsia="Times New Roman" w:cs="Times New Roman"/>
          <w:szCs w:val="24"/>
          <w:lang w:eastAsia="pl-PL"/>
        </w:rPr>
        <w:t xml:space="preserve">45316110-9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8B7B48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8B7B48">
        <w:rPr>
          <w:rFonts w:eastAsia="Times New Roman" w:cs="Times New Roman"/>
          <w:szCs w:val="24"/>
          <w:lang w:eastAsia="pl-PL"/>
        </w:rPr>
        <w:t xml:space="preserve">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lastRenderedPageBreak/>
        <w:br/>
      </w:r>
      <w:r w:rsidRPr="008B7B48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B7B48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>miesiącach:   </w:t>
      </w:r>
      <w:r w:rsidRPr="008B7B48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8B7B48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i/>
          <w:iCs/>
          <w:szCs w:val="24"/>
          <w:lang w:eastAsia="pl-PL"/>
        </w:rPr>
        <w:t>lub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8B7B48">
        <w:rPr>
          <w:rFonts w:eastAsia="Times New Roman" w:cs="Times New Roman"/>
          <w:szCs w:val="24"/>
          <w:lang w:eastAsia="pl-PL"/>
        </w:rPr>
        <w:t> </w:t>
      </w:r>
      <w:r w:rsidRPr="008B7B48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8B7B48">
        <w:rPr>
          <w:rFonts w:eastAsia="Times New Roman" w:cs="Times New Roman"/>
          <w:szCs w:val="24"/>
          <w:lang w:eastAsia="pl-PL"/>
        </w:rPr>
        <w:t xml:space="preserve">2020-12-18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Określenie warunków: Zamawiający nie stawia w tym zakresie warunków.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Określenie warunków: Wykonawca musi wykazać, że posiada ubezpieczenie od odpowiedzialności cywilnej w zakresie prowadzonej działalności gospodarczej związanej z przedmiotem zamówienia. Celem potwierdzenia spełniania tego warunku Wykonawcy zobowiązani są złożyć poświadczoną za zgodność aktualną polisę wraz z potwierdzeniem jej opłacenia.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Określenie warunków: c) zdolności technicznej lub zawodowej w zakresie sprzętu, jakim dysponuje Wykonawca: - Zamawiający uzna warunek za spełniony jeśli Wykonawca wykaże, że do wykonania zamówienia dysponuje następującym potencjałem technicznym: - Wykonawca powinien wykazać odpowiedni sprzęt stosowany przy wyżej wymienionym zakresie robót tj. samochód z wysięgnikiem, koparkę lub inny sprzęt mechaniczny np. z HDS-em. Sprzęt użyty do wykonywania Przedmiotu umowy powinien posiadać aktualne przeglądy techniczne, być sprawny i mieć opłacone aktualne na czas wykonywania zamówienia polisy OC, dozór. Celem potwierdzenia spełniania tego warunku Wykonawcy zobowiązani są złożyć wykaz sprzętu (Załącznik nr 8 do SIWZ wraz z poświadczonymi za zgodność ważnymi polisami ubezpieczeniowymi) d) zdolności technicznej lub zawodowej w zakresie osób, jakimi dysponuje Wykonawca: - Zamawiający wymaga, aby Wykonawca ubiegający się o realizację przedmiotowego zamówienia w trakcie jego realizacji dysponował 1 osobą z uprawnieniami kierownika budowy posiadającym uprawnienia budowlane do kierowania robotami budowlanymi w specjalności instalacyjnej w zakresie sieci, instalacji i urządzeń elektrycznych i elektroenergetycznych w zakresie niezbędnym do wykonania przedmiotu zamówienia lub odpowiadające im ważne uprawnienia budowlane, które zostały wydane na podstawie wcześniej obowiązujących przepisów w tym zakresie. Celem potwierdzenia wymaganego warunku Wykonawcy muszą złożyć: wykaz osób (zgodny z wzorem </w:t>
      </w:r>
      <w:r w:rsidRPr="008B7B48">
        <w:rPr>
          <w:rFonts w:eastAsia="Times New Roman" w:cs="Times New Roman"/>
          <w:szCs w:val="24"/>
          <w:lang w:eastAsia="pl-PL"/>
        </w:rPr>
        <w:lastRenderedPageBreak/>
        <w:t xml:space="preserve">stanowiącym Załącznik nr 7 do niniejszej SIWZ, które będą uczestniczyć w wykonywaniu zamówienia wraz z informacjami na temat ich kwalifikacji zawodowych, doświadczenia i wykształcenia niezbędnego do wykonania zamówienia, a także zakresu wykonywanych przez nie czynności oraz informacją o podstawie dysponowania tymi osobami, (w załączeniu dokumenty potwierdzające uprawnienia). Zamawiający określając wymogi dla osób w zakresie posiadanych uprawnień dopuszcza odpowiadające im kwalifikacje zawodowe uprawniające do kierowania robotami budowlanymi w danej specjalności nabyte w państwach członkowskich Unii Europejskiej, Konfederacji Szwajcarskiej oraz w państwach Europejskiego Obszaru Gospodarczego, stosownie do przepisu art. 12 a ustawy Prawo budowlane oraz przepisów ustawy o zasadach uznawania kwalifikacji zawodowych nabytych w państwach członkowskich Unii Europejskiej (Dz. U. z 2008 r., Nr 63, poz.394) Zamawiający dopuszcza, aby funkcję Kierownika Budowy pełniła ta sama osoba.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III.2.1) Podstawy wykluczenia określone w art. 24 ust. 1 ustawy </w:t>
      </w:r>
      <w:proofErr w:type="spellStart"/>
      <w:r w:rsidRPr="008B7B48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B7B48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)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1. Aktualne Oświadczenie Wykonawcy składane na podstawie art. 25a ust 1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, dotyczące spełnienia warunków udziału w postepowaniu, stanowiące załącznik nr 2 do SIWZ. 2. Aktualne Oświadczenie Wykonawcy składane na podstawie art. 25a ust 1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, dotyczące przesłanek wykluczenia z postepowania, stanowiące załącznik nr 3 do SIWZ. Wykonawca, który powołuje się na zasoby innych podmiotów, w celu wykazania braku podstaw do wykluczenia oraz spełniania warunków udziału w postępowaniu, w zakresie, w jakim powołuje się na zasoby innych podmiotów, zamieszcza informacje o tych podmiotach w w/w oświadczeniu. Zamawiający zgodnie z art. 22a ust. 3 bada czy nie zachodzą wobec tego podmiotu podstawy wykluczenia. Wykonawca, który zamierza powierzyć wykonanie części </w:t>
      </w:r>
      <w:r w:rsidRPr="008B7B48">
        <w:rPr>
          <w:rFonts w:eastAsia="Times New Roman" w:cs="Times New Roman"/>
          <w:szCs w:val="24"/>
          <w:lang w:eastAsia="pl-PL"/>
        </w:rPr>
        <w:lastRenderedPageBreak/>
        <w:t xml:space="preserve">zamówienia podwykonawcom, w celu wykazania braku istnienia wobec nich podstaw do wykluczenia z udziału w postępowaniu, zamieszcza informację o podwykonawcach w w/w oświadczeniu. 12. Wykonawca w terminie 3 dni od dnia zamieszczenia na stronie internetowej informacji z art. 86 ust. 5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 przekazuje zamawiającemu oświadczenie o przynależności lub braku przynależności do tej samej grupy kapitałowej, o której mowa w art. 24 ust. I pkt. 23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. Wraz ze złożeniem oświadczenia, wykonawca może przedstawić dowody, że powiązania z innym wykonawcą nie prowadzą do zakłócenia uczciwej konkurencji w postępowaniu o udzielenie zamówienia publicznego – załącznik nr 4 do SIWZ 13. Odpis z właściwego rejestru lub z centralnej ewidencji i informacji o działalności gospodarczej, jeżeli odrębne przepisy wymagają wpisu do rejestru lub ewidencji, w celu potwierdzenia braku podstaw wykluczenia na podstawie art. 24 ust. 5 pkt I ustawy </w:t>
      </w:r>
      <w:proofErr w:type="spellStart"/>
      <w:r w:rsidRPr="008B7B48">
        <w:rPr>
          <w:rFonts w:eastAsia="Times New Roman" w:cs="Times New Roman"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szCs w:val="24"/>
          <w:lang w:eastAsia="pl-PL"/>
        </w:rPr>
        <w:t xml:space="preserve">;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10. Wykaz zamówień zrealizowanych nie wcześniej niż w okresie ostatnich 5 lat przed upływem terminu składania ofert do udziału w postępowaniu, a jeżeli okres prowadzenia działalności jest krótszy — w tym okresie, wraz z podaniem ich rodzaju, wartości, daty, miejsca wykonania i podmiotów, na rzecz których roboty te zostały wykonane, z załączeniem dowodów określających czy te roboty budowlane zostały wykonane należycie, w szczególności informacji o tym czy zostały wykonane zgodnie z przepisami prawa budowlanego i prawidłowo ukończone zgodnie z załącznikiem nr 6 do SIWZ; Dowodami, o których mowa powyżej są: • referencje bądź inne dokumenty wystawione przez podmiot, na rzecz którego usługi były wykonywane, • inne dokumenty – jeżeli z uzasadnionych przyczyn o obiektywnym charakterze Wykonawca nie jest w stanie uzyskać poświadczenia, o którym mowa powyżej. W przypadku gdy Gmina Prażmów jest podmiotem, na rzecz którego usługi wskazane w wykazie, zostały wcześniej wykonane, Wykonawca nie ma obowiązku przedkładania dowodów, o których mowa niniejszym podpunkcie. 11. Wykaz osób, skierowanych przez Wykonawcę do realizacji zamówienia publicznego, w szczególności odpowiedzialnych za kierowanie robotami budowlanymi, wraz z informacjami na temat kwalifikacji zawodowych, uprawnień, doświadczenia i wykształcenia niezbędnych do wykonywania zamówienia publicznego, a także zakresu wykonywanych przez nie czynności oraz informacją o podstawie do dysponowania tymi osobami, zgodnie z załącznikiem nr 7 do SIWZ;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8B7B48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lastRenderedPageBreak/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</w:t>
      </w:r>
      <w:r w:rsidRPr="008B7B48">
        <w:rPr>
          <w:rFonts w:eastAsia="Times New Roman" w:cs="Times New Roman"/>
          <w:szCs w:val="24"/>
          <w:lang w:eastAsia="pl-PL"/>
        </w:rPr>
        <w:lastRenderedPageBreak/>
        <w:t xml:space="preserve">formie katalogów elektronicznych: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8B7B48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016"/>
      </w:tblGrid>
      <w:tr w:rsidR="008B7B48" w:rsidRPr="008B7B48" w:rsidTr="008B7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48" w:rsidRPr="008B7B48" w:rsidRDefault="008B7B48" w:rsidP="008B7B4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B7B48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48" w:rsidRPr="008B7B48" w:rsidRDefault="008B7B48" w:rsidP="008B7B4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B7B48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8B7B48" w:rsidRPr="008B7B48" w:rsidTr="008B7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48" w:rsidRPr="008B7B48" w:rsidRDefault="008B7B48" w:rsidP="008B7B4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B7B48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48" w:rsidRPr="008B7B48" w:rsidRDefault="008B7B48" w:rsidP="008B7B4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B7B48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8B7B48" w:rsidRPr="008B7B48" w:rsidTr="008B7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48" w:rsidRPr="008B7B48" w:rsidRDefault="008B7B48" w:rsidP="008B7B4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B7B48">
              <w:rPr>
                <w:rFonts w:eastAsia="Times New Roman" w:cs="Times New Roman"/>
                <w:szCs w:val="24"/>
                <w:lang w:eastAsia="pl-PL"/>
              </w:rPr>
              <w:t xml:space="preserve">Termin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48" w:rsidRPr="008B7B48" w:rsidRDefault="008B7B48" w:rsidP="008B7B4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B7B48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B7B48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Tak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lastRenderedPageBreak/>
        <w:br/>
        <w:t xml:space="preserve">Informacje dodatkowe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Czas trwania: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B7B48">
        <w:rPr>
          <w:rFonts w:eastAsia="Times New Roman" w:cs="Times New Roman"/>
          <w:szCs w:val="24"/>
          <w:lang w:eastAsia="pl-PL"/>
        </w:rPr>
        <w:t xml:space="preserve"> Nie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8B7B48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Data: 2020-11-27, godzina: 12:00,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B7B48">
        <w:rPr>
          <w:rFonts w:eastAsia="Times New Roman" w:cs="Times New Roman"/>
          <w:szCs w:val="24"/>
          <w:lang w:eastAsia="pl-PL"/>
        </w:rPr>
        <w:br/>
        <w:t xml:space="preserve">&gt;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8B7B48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B7B48">
        <w:rPr>
          <w:rFonts w:eastAsia="Times New Roman" w:cs="Times New Roman"/>
          <w:szCs w:val="24"/>
          <w:lang w:eastAsia="pl-PL"/>
        </w:rPr>
        <w:t xml:space="preserve"> Nie </w:t>
      </w:r>
      <w:r w:rsidRPr="008B7B48">
        <w:rPr>
          <w:rFonts w:eastAsia="Times New Roman" w:cs="Times New Roman"/>
          <w:szCs w:val="24"/>
          <w:lang w:eastAsia="pl-PL"/>
        </w:rPr>
        <w:br/>
      </w:r>
      <w:r w:rsidRPr="008B7B48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8B7B48">
        <w:rPr>
          <w:rFonts w:eastAsia="Times New Roman" w:cs="Times New Roman"/>
          <w:szCs w:val="24"/>
          <w:lang w:eastAsia="pl-PL"/>
        </w:rPr>
        <w:t xml:space="preserve"> </w:t>
      </w:r>
      <w:r w:rsidRPr="008B7B48">
        <w:rPr>
          <w:rFonts w:eastAsia="Times New Roman" w:cs="Times New Roman"/>
          <w:szCs w:val="24"/>
          <w:lang w:eastAsia="pl-PL"/>
        </w:rPr>
        <w:br/>
      </w:r>
    </w:p>
    <w:p w:rsidR="008B7B48" w:rsidRPr="008B7B48" w:rsidRDefault="008B7B48" w:rsidP="008B7B48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B7B48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8B7B48" w:rsidRPr="008B7B48" w:rsidRDefault="008B7B48" w:rsidP="008B7B4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8B7B48" w:rsidRPr="008B7B48" w:rsidRDefault="008B7B48" w:rsidP="008B7B48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8B7B48" w:rsidRPr="008B7B48" w:rsidRDefault="008B7B48" w:rsidP="008B7B48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B48" w:rsidRPr="008B7B48" w:rsidTr="008B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B48" w:rsidRPr="008B7B48" w:rsidRDefault="008B7B48" w:rsidP="008B7B48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8B7B48" w:rsidRPr="008B7B48" w:rsidRDefault="008B7B48" w:rsidP="008B7B4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B7B4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B7B48" w:rsidRPr="008B7B48" w:rsidRDefault="008B7B48" w:rsidP="008B7B48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B7B4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B7B48" w:rsidRPr="008B7B48" w:rsidRDefault="008B7B48" w:rsidP="008B7B4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B7B4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42"/>
    <w:rsid w:val="00082D80"/>
    <w:rsid w:val="002C5A42"/>
    <w:rsid w:val="00841526"/>
    <w:rsid w:val="00860196"/>
    <w:rsid w:val="008B7B48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2F41-A599-4E1B-A0CC-101E0226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B7B48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B7B4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B7B48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B7B4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3206</Words>
  <Characters>19237</Characters>
  <Application>Microsoft Office Word</Application>
  <DocSecurity>0</DocSecurity>
  <Lines>160</Lines>
  <Paragraphs>44</Paragraphs>
  <ScaleCrop>false</ScaleCrop>
  <Company>Microsoft</Company>
  <LinksUpToDate>false</LinksUpToDate>
  <CharactersWithSpaces>22399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3</cp:revision>
  <dcterms:created xsi:type="dcterms:W3CDTF">2020-11-13T12:04:00Z</dcterms:created>
  <dcterms:modified xsi:type="dcterms:W3CDTF">2020-11-13T12:04:00Z</dcterms:modified>
</cp:coreProperties>
</file>