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CE" w:rsidRPr="00501ACE" w:rsidRDefault="00501ACE" w:rsidP="00501ACE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01AC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01ACE" w:rsidRPr="00501ACE" w:rsidRDefault="00501ACE" w:rsidP="00501ACE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Ogłoszenie nr 616169-N-2020 z dnia 2020-11-26 r. </w:t>
      </w:r>
    </w:p>
    <w:p w:rsidR="00501ACE" w:rsidRPr="00501ACE" w:rsidRDefault="00501ACE" w:rsidP="00501ACE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>Urząd Gminy Prażmów: „Przebudowa kuchni w Zespole Szkolno – Przedszkolnym w Prażmowie”.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OGŁOSZENIE O ZAMÓWIENIU - Roboty budowlane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501ACE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501ACE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501ACE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 , 05-505  Prażmów, woj. mazowieckie, państwo Polska, tel. 227 270 177, , e-mail zamowienia.prazmow@jst.pl, , faks 227 270 522.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lastRenderedPageBreak/>
        <w:t xml:space="preserve">Adres strony internetowej (URL): https://prazmow.bip.gov.pl/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Adres profilu nabywcy: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501ACE">
        <w:rPr>
          <w:rFonts w:eastAsia="Times New Roman" w:cs="Times New Roman"/>
          <w:szCs w:val="24"/>
          <w:lang w:eastAsia="pl-PL"/>
        </w:rPr>
        <w:t xml:space="preserve">Administracja samorządowa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501ACE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Tak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Tak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1. Ofertę zapakowaną i oznaczoną zgodnie z ust. 4 należy dostarczyć do siedziby Zamawiającego: Prażmów ul. P. Czołchańskiego 1, 05-505 Prażmów (kancelaria urzędu). Uwaga! Jeżeli nie będzie możliwości złożenia oferty w kancelarii Urzędu ze względu na sytuację epidemiologiczną w kraju, oferty należy złożyć w terminie wskazanym poniżej </w:t>
      </w:r>
      <w:r w:rsidRPr="00501ACE">
        <w:rPr>
          <w:rFonts w:eastAsia="Times New Roman" w:cs="Times New Roman"/>
          <w:szCs w:val="24"/>
          <w:lang w:eastAsia="pl-PL"/>
        </w:rPr>
        <w:lastRenderedPageBreak/>
        <w:t xml:space="preserve">poprzez: operatora pocztowego lub firmę kurierską, bądź wrzucenie do skrzynki podawczej ustawionej przy wejściu głównym do UG. Oferty wrzucone do skrzynki po terminie 10.12.2020 godz. 12:00 zostaną zwrócone wykonawcom bez ich otwierania, zgodnie z art. 84 ust. 2 Ustawy.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501ACE">
        <w:rPr>
          <w:rFonts w:eastAsia="Times New Roman" w:cs="Times New Roman"/>
          <w:szCs w:val="24"/>
          <w:lang w:eastAsia="pl-PL"/>
        </w:rPr>
        <w:t xml:space="preserve">„Przebudowa kuchni w Zespole Szkolno – Przedszkolnym w Prażmowie”.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501ACE">
        <w:rPr>
          <w:rFonts w:eastAsia="Times New Roman" w:cs="Times New Roman"/>
          <w:szCs w:val="24"/>
          <w:lang w:eastAsia="pl-PL"/>
        </w:rPr>
        <w:t xml:space="preserve">ZAM.271.1.24.2020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501ACE" w:rsidRPr="00501ACE" w:rsidRDefault="00501ACE" w:rsidP="00501ACE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501ACE">
        <w:rPr>
          <w:rFonts w:eastAsia="Times New Roman" w:cs="Times New Roman"/>
          <w:szCs w:val="24"/>
          <w:lang w:eastAsia="pl-PL"/>
        </w:rPr>
        <w:t xml:space="preserve">Roboty budowlane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501ACE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01ACE">
        <w:rPr>
          <w:rFonts w:eastAsia="Times New Roman" w:cs="Times New Roman"/>
          <w:szCs w:val="24"/>
          <w:lang w:eastAsia="pl-PL"/>
        </w:rPr>
        <w:t xml:space="preserve">Gmina zamierza zlecić wykonanie przebudowy istniejącej kuchni i stołówki w budynku ZS w Prażmowie przy ul. F. Ryxa. Budynek, w którym znajduje się kuchnia jest budynkiem zespołu szkolno-przedszkolnego w Prażmowie. Planowana przebudowa wnętrza zakłada powiększenie strefy kuchennej wraz z wymianą instalacji wewnętrznej: instalacja wentylacji mechanicznej, instalacji wodno-kanalizacyjnej oraz instalacji elektrycznych, przebudowa ścian działowych. W związku ze zmianą aranżacji pomieszczeń planuje się: zmianę geometrii ścian wewnętrznych działowych, wykonanie nowych podejść instalacji wod- kan., wykonanie wentylacji mechanicznej, wykonanie nowej instalacji elektrycznej– dostosowanej do nowej aranżacji. Program użytkowy został opracowany w projekcie technologicznym i zakłada adaptację dotychczasowej jadalni na </w:t>
      </w:r>
      <w:r w:rsidRPr="00501ACE">
        <w:rPr>
          <w:rFonts w:eastAsia="Times New Roman" w:cs="Times New Roman"/>
          <w:szCs w:val="24"/>
          <w:lang w:eastAsia="pl-PL"/>
        </w:rPr>
        <w:lastRenderedPageBreak/>
        <w:t xml:space="preserve">potrzeby powiększenia zaplecza gastronomicznego stołówki szkolnej. Dokładny opis zamówienia zawarto w dokumentacji technicznej stanowiącej załącznik do SIWZ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501ACE">
        <w:rPr>
          <w:rFonts w:eastAsia="Times New Roman" w:cs="Times New Roman"/>
          <w:szCs w:val="24"/>
          <w:lang w:eastAsia="pl-PL"/>
        </w:rPr>
        <w:t xml:space="preserve">45400000-1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Kod CPV</w:t>
            </w:r>
          </w:p>
        </w:tc>
      </w:tr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45110000-1</w:t>
            </w:r>
          </w:p>
        </w:tc>
      </w:tr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45330000-9</w:t>
            </w:r>
          </w:p>
        </w:tc>
      </w:tr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45331210-1</w:t>
            </w:r>
          </w:p>
        </w:tc>
      </w:tr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45311200-2</w:t>
            </w:r>
          </w:p>
        </w:tc>
      </w:tr>
    </w:tbl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501ACE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501ACE">
        <w:rPr>
          <w:rFonts w:eastAsia="Times New Roman" w:cs="Times New Roman"/>
          <w:szCs w:val="24"/>
          <w:lang w:eastAsia="pl-PL"/>
        </w:rPr>
        <w:t xml:space="preserve">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>miesiącach:   </w:t>
      </w:r>
      <w:r w:rsidRPr="00501ACE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501ACE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501ACE">
        <w:rPr>
          <w:rFonts w:eastAsia="Times New Roman" w:cs="Times New Roman"/>
          <w:szCs w:val="24"/>
          <w:lang w:eastAsia="pl-PL"/>
        </w:rPr>
        <w:t xml:space="preserve"> 63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i/>
          <w:iCs/>
          <w:szCs w:val="24"/>
          <w:lang w:eastAsia="pl-PL"/>
        </w:rPr>
        <w:t>lub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501ACE">
        <w:rPr>
          <w:rFonts w:eastAsia="Times New Roman" w:cs="Times New Roman"/>
          <w:szCs w:val="24"/>
          <w:lang w:eastAsia="pl-PL"/>
        </w:rPr>
        <w:t> </w:t>
      </w:r>
      <w:r w:rsidRPr="00501ACE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Określenie warunków: odpis z właściwego rejestru lub z centralnej ewidencji i informacji o działalności gospodarczej, jeżeli odrębne przepisy wymagają wpisu do rejestru lub ewidencji, w celu potwierdzenia braku podstaw wykluczenia na podstawie art. 24 ust. 5 pkt 1 ustawy Pzp – na wezwanie Zamawiającego, zgodnie z Cz. V a ust. 1 pkt 5;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Określenie warunków: Wykonawca musi wykazać, że posiada ubezpieczenie od odpowiedzialności cywilnej w zakresie prowadzonej działalności gospodarczej związanej z przedmiotem zamówienia na kwotę co najmniej 400 000,00 zł.( kserokopię polisy ubezpieczeniowej wraz z potwierdzeniem jej zapłaty należy dołączyć do oferty – dokumenty winny być poświadczone za zgodność przez Wykonawcę).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lastRenderedPageBreak/>
        <w:t xml:space="preserve">Informacje dodatkowe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Określenie warunków: 2. Wykaz wykonanych robót budowlanych w ciągu ostatnich pięciu lat przed rozpoczęciem postępowania o udzielenie zamówienia, a jeżeli okres prowadzenia działalności jest krótszy – w tym okresie, co najmniej 1 roboty budowlanej polegającej na kompleksowej budowie, przebudowie, remoncie bądź modernizacji kuchni z zapleczem gastronomicznym w obiekcie użyteczności publicznej o wartości nie mniejszej 500 000,00zł oraz dołączy dokumenty (np. referencje) - w formie oryginału lub kserokopii poświadczonej za zgodność z oryginałem przez Wykonawcę - potwierdzające, że zamówienia te zostały wykonane należycie sporządzony zgodnie z załącznikiem nr 3 do SIWZ. 3. Wykaz osób ( personelu kierowniczego), którymi dysponuje lub będzie dysponował Wykonawca i które będą uczestniczyć w wykonaniu zamówienia wraz z informacjami na temat ich kwalifikacji i doświadczenia niezbędnych do wykonania zamówienia, a także proponowanego zakresu obowiązków w przedmiotowym zamówieniu; kierownik robót budowlanych, sanitarnych i elektrycznych musi mieć uprawnienia do kierowania robotami będącymi przedmiotem zamówienia i doświadczenie min. 3 lata na podobnym stanowisku , sporządzony zgodnie z załącznikiem nr 5 do SIWZ. (aktualna przynależność do Okręgowej Izby Inżynierów)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III.2.1) Podstawy wykluczenia określone w art. 24 ust. 1 ustawy Pzp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III.2.2) Zamawiający przewiduje wykluczenie wykonawcy na podstawie art. 24 ust. 5 ustawy Pzp</w:t>
      </w:r>
      <w:r w:rsidRPr="00501ACE">
        <w:rPr>
          <w:rFonts w:eastAsia="Times New Roman" w:cs="Times New Roman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2 ustawy Pzp)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3 ustawy Pzp)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4 ustawy Pzp)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5 ustawy Pzp)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6 ustawy Pzp)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7 ustawy Pzp)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8 ustawy Pzp)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- Oświadczeń, zgodnie z Załącznikiem nr 2 do SIWZ; - odpisu z właściwego rejestru lub z centralnej ewidencji i informacji o działalności gospodarczej, jeżeli odrębne przepisy wymagają wpisu do rejestru lub ewidencji, w celu potwierdzenia braku podstaw wykluczenia na podstawie art. 24 ust. 5 pkt 1 ustawy Pzp – na wezwanie Zamawiającego, zgodnie z Cz. V </w:t>
      </w:r>
      <w:r w:rsidRPr="00501ACE">
        <w:rPr>
          <w:rFonts w:eastAsia="Times New Roman" w:cs="Times New Roman"/>
          <w:szCs w:val="24"/>
          <w:lang w:eastAsia="pl-PL"/>
        </w:rPr>
        <w:lastRenderedPageBreak/>
        <w:t xml:space="preserve">a ust. 1 pkt 5; - Wykonawca, w terminie 3 dni od dnia zamieszczenia na stronie internetowej informacji, o której mowa w art. 86 ust. 5 ustawy Pzp, przekaże Zamawiającemu oświadczenie o przynależności lub braku przynależności do tej samej grupy kapitałowej, zgodnie z art. 24 ust. 1 pkt 23 ustawy Pzp - wzór stanowi zał. nr 5 do SIWZ; - Wykonawca, który polega na zdolnościach lub sytuacji innych podmiotów w oparciu o art. 22a ustawy Pzp w celu zbadania, czy nie zachodzą wobec tego podmiotu podstawy wykluczenia, o których mowa w art. 24 ust. 1 pkt. 13-22 i ust. 5 pkt 1 ustawy Pzp, składa dokumenty dotyczące tego podmiotu, zgodnie z tiretem drugim – na wezwanie Zamawiającego, zgodnie z Cz. Va ust. 1 pkt 5;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2. Wykaz wykonanych robót budowlanych w ciągu ostatnich pięciu lat przed rozpoczęciem postępowania o udzielenie zamówienia, a jeżeli okres prowadzenia działalności jest krótszy – w tym okresie, co najmniej 1 roboty budowlanej polegającej na kompleksowej budowie, przebudowie, remoncie bądź modernizacji kuchni z zapleczem gastronomicznym w obiekcie użyteczności publicznej o wartości nie mniejszej 500 000,00zł oraz dołączy dokumenty (np. referencje) - w formie oryginału lub kserokopii poświadczonej za zgodność z oryginałem przez Wykonawcę - potwierdzające, że zamówienia te zostały wykonane należycie sporządzony zgodnie z załącznikiem nr 3 do SIWZ. 3. Wykaz osób ( personelu kierowniczego), którymi dysponuje lub będzie dysponował Wykonawca i które będą uczestniczyć w wykonaniu zamówienia wraz z informacjami na temat ich kwalifikacji i doświadczenia niezbędnych do wykonania zamówienia, a także proponowanego zakresu obowiązków w przedmiotowym zamówieniu; kierownik robót budowlanych, sanitarnych i elektrycznych musi mieć uprawnienia do kierowania robotami będącymi przedmiotem zamówienia i doświadczenie min. 3 lata na podobnym stanowisku , sporządzony zgodnie z załącznikiem nr 5 do SIWZ. (aktualna przynależność do Okręgowej Izby Inżynierów)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1. Oferta musi zawierać następujące oświadczenia i dokumenty: 1) wypełniony Formularz ofertowy, sporządzony zgodnie z wzorem stanowiącym Załącznik nr 1 do SIWZ; 2) Oświadczenie/oświadczenia, zgodnie wzorem stanowiącym Załącznik nr 2 do SIWZ; 3) w przypadku Wykonawców powołujących się na zasoby innych podmiotów – zobowiązanie tych podmiotów; 4) ewentualne pełnomocnictwa. 5) dowód wniesienia wadium. 6) Wypełnione przedmiary robót zawierające kalkulację ceny oferty opracowaną na podstawie dokumentacji technicznej.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501ACE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Tak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1. Zamawiający żąda od Wykonawców wniesienia wadium w wysokości 10 000 PLN </w:t>
      </w:r>
      <w:r w:rsidRPr="00501ACE">
        <w:rPr>
          <w:rFonts w:eastAsia="Times New Roman" w:cs="Times New Roman"/>
          <w:szCs w:val="24"/>
          <w:lang w:eastAsia="pl-PL"/>
        </w:rPr>
        <w:lastRenderedPageBreak/>
        <w:t xml:space="preserve">(słownie: dziesięć tysięcy złotych 00/100gr) 2. Wadium można wnieść w pieniądzu na rachunek bankowy Zamawiającego: Banku Spółdzielczego w Tarczynie – Filia w Prażmowie nr 14 8008 1018 9003 0030 4775 0001, z dopiskiem na przelewie: Wadium w postępowaniu nr ZAM.271.1.24.2020. 3. Wadium uznaje się za skutecznie wniesione z chwilą uznania środków pieniężnych na rachunku bankowym Zamawiającego przed upływem terminu składania ofert. 4. Wadium wnoszone w innych formach należy złożyć w oryginale w siedzibie Zamawiającego: Prażmów ul. P. Czołchańskiego 1, 05-505 Prażmów – kancelaria urzędu lub wraz z ofertą. 5. W przypadku, gdy wadium nie zostało wniesione lub zostało wniesione w sposób nieprawidłowy zamawiający odrzuca ofertę zgodnie z art. 89 ust. 1 pkt 7b ustawy Pzp. 6. Zamawiający dokona zwrotu wadium zgodnie z art. 46 ustawy Pzp. 7. Zamawiający żąda ponownego wniesienia wadium przez Wykonawcę, któremu zostało ono zwrócone na podstawie art. 46 ust. 3 ustawy Pzp, jeżeli w wyniku rozstrzygnięcia odwołania jego oferta została wybrana jako najkorzystniejsza. Wykonawca wnosi wadium w terminie wskazanym przez Zamawiającego. 8. Zamawiający zatrzymuje wadium wraz z odsetkami, jeżeli: 1) Wykonawca, w odpowiedzi na wezwanie, o którym mowa w art. 26 ust. 3 i 3a ustawy Pzp, z przyczyn leżących po jego stronie, nie złożył oświadczeń lub dokumentów potwierdzających okoliczności, o których mowa w art. 25 ust. 1 ustawy Pzp, oświadczenia, o którym mowa w art. 25a ust. 1 ustawy Pzp, pełnomocnictw lub nie wyraził zgody na poprawienie omyłki, o której mowa w art. 87 ust. 2 pkt 3 ustawy Pzp, co powodowało brak możliwości wybrania oferty złożonej przez Wykonawcę jako najkorzystniejszej; 2) Wykonawca, którego oferta została wybrana: odmówi podpisania umowy na warunkach określonych w ofercie lub nie wniesie wymaganego zabezpieczenia należytego wykonania umowy, o ile było wymagane lub zawarcie umowy stało się niemożliwe z przyczyn leżących po stronie Wykonawcy. 9. Wykonawca, którego oferta zostanie uznana za najkorzystniejszą, zgodnie z art. 148 ust. 4 ustawy Pzp, może wyrazić zgodę na zaliczenie kwoty wadium, które zostało wniesione w pieniądzu na poczet zabezpieczenia należytego wykonania umowy.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</w:t>
      </w:r>
      <w:r w:rsidRPr="00501ACE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postępowaniu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501ACE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501ACE">
        <w:rPr>
          <w:rFonts w:eastAsia="Times New Roman" w:cs="Times New Roman"/>
          <w:szCs w:val="24"/>
          <w:lang w:eastAsia="pl-PL"/>
        </w:rPr>
        <w:t xml:space="preserve">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lastRenderedPageBreak/>
        <w:br/>
        <w:t xml:space="preserve">Czas trwania: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1016"/>
      </w:tblGrid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 xml:space="preserve">2) Czas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30,00</w:t>
            </w:r>
          </w:p>
        </w:tc>
      </w:tr>
      <w:tr w:rsidR="00501ACE" w:rsidRPr="00501ACE" w:rsidTr="00501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 xml:space="preserve">3) Termin płatności faktury VAT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ACE" w:rsidRPr="00501ACE" w:rsidRDefault="00501ACE" w:rsidP="00501AC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01ACE">
              <w:rPr>
                <w:rFonts w:eastAsia="Times New Roman" w:cs="Times New Roman"/>
                <w:szCs w:val="24"/>
                <w:lang w:eastAsia="pl-PL"/>
              </w:rPr>
              <w:t>10,00</w:t>
            </w:r>
          </w:p>
        </w:tc>
      </w:tr>
    </w:tbl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Pzp </w:t>
      </w:r>
      <w:r w:rsidRPr="00501ACE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Tak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Wstępny harmonogram postępowania: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lastRenderedPageBreak/>
        <w:t xml:space="preserve">Podział negocjacji na etapy w celu ograniczeniu liczby ofert podlegających negocjacjom poprzez zastosowanie kryteriów oceny ofert wskazanych w specyfikacji istotnych warunków zamówienia: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Czas trwania: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01ACE">
        <w:rPr>
          <w:rFonts w:eastAsia="Times New Roman" w:cs="Times New Roman"/>
          <w:szCs w:val="24"/>
          <w:lang w:eastAsia="pl-PL"/>
        </w:rPr>
        <w:t xml:space="preserve"> Nie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501ACE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Data: 2020-12-10, godzina: 12:00,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</w:t>
      </w:r>
      <w:r w:rsidRPr="00501ACE">
        <w:rPr>
          <w:rFonts w:eastAsia="Times New Roman" w:cs="Times New Roman"/>
          <w:szCs w:val="24"/>
          <w:lang w:eastAsia="pl-PL"/>
        </w:rPr>
        <w:lastRenderedPageBreak/>
        <w:t xml:space="preserve">udziału w postępowaniu </w:t>
      </w:r>
      <w:r w:rsidRPr="00501ACE">
        <w:rPr>
          <w:rFonts w:eastAsia="Times New Roman" w:cs="Times New Roman"/>
          <w:szCs w:val="24"/>
          <w:lang w:eastAsia="pl-PL"/>
        </w:rPr>
        <w:br/>
        <w:t xml:space="preserve">&gt;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501ACE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  <w:r w:rsidRPr="00501ACE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501ACE">
        <w:rPr>
          <w:rFonts w:eastAsia="Times New Roman" w:cs="Times New Roman"/>
          <w:szCs w:val="24"/>
          <w:lang w:eastAsia="pl-PL"/>
        </w:rPr>
        <w:t xml:space="preserve"> </w:t>
      </w:r>
      <w:r w:rsidRPr="00501ACE">
        <w:rPr>
          <w:rFonts w:eastAsia="Times New Roman" w:cs="Times New Roman"/>
          <w:szCs w:val="24"/>
          <w:lang w:eastAsia="pl-PL"/>
        </w:rPr>
        <w:br/>
      </w:r>
    </w:p>
    <w:p w:rsidR="00501ACE" w:rsidRPr="00501ACE" w:rsidRDefault="00501ACE" w:rsidP="00501ACE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01ACE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01ACE" w:rsidRPr="00501ACE" w:rsidRDefault="00501ACE" w:rsidP="00501AC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01ACE" w:rsidRPr="00501ACE" w:rsidRDefault="00501ACE" w:rsidP="00501ACE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01ACE" w:rsidRPr="00501ACE" w:rsidRDefault="00501ACE" w:rsidP="00501ACE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01ACE" w:rsidRPr="00501ACE" w:rsidTr="00501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ACE" w:rsidRPr="00501ACE" w:rsidRDefault="00501ACE" w:rsidP="00501ACE">
            <w:pPr>
              <w:spacing w:after="240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501ACE" w:rsidRPr="00501ACE" w:rsidRDefault="00501ACE" w:rsidP="00501AC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01AC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01ACE" w:rsidRPr="00501ACE" w:rsidRDefault="00501ACE" w:rsidP="00501ACE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01AC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01ACE" w:rsidRPr="00501ACE" w:rsidRDefault="00501ACE" w:rsidP="00501AC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01AC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CE"/>
    <w:rsid w:val="00082D80"/>
    <w:rsid w:val="00501ACE"/>
    <w:rsid w:val="00841526"/>
    <w:rsid w:val="0086019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7408E-956B-4EAD-ACA2-DD3BCAB6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1AC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1AC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1AC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1AC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3483</Words>
  <Characters>20900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1</cp:revision>
  <dcterms:created xsi:type="dcterms:W3CDTF">2020-11-26T11:06:00Z</dcterms:created>
  <dcterms:modified xsi:type="dcterms:W3CDTF">2020-11-26T11:07:00Z</dcterms:modified>
</cp:coreProperties>
</file>